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0"/>
        <w:gridCol w:w="7460"/>
        <w:tblGridChange w:id="0">
          <w:tblGrid>
            <w:gridCol w:w="1900"/>
            <w:gridCol w:w="74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Pre-Assessment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hyperlink r:id="rId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Formative Quiz for 6.3</w:t>
              </w:r>
            </w:hyperlink>
            <w:r w:rsidDel="00000000" w:rsidR="00000000" w:rsidRPr="00000000">
              <w:rPr>
                <w:color w:val="0000ff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0000ff"/>
                <w:rtl w:val="0"/>
              </w:rPr>
              <w:t xml:space="preserve">https://docs.google.com/document/d/1MkropVHrMQftfvZPqF5m1MqK9T8uMpSrI_CI06sNY_s/edit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Reading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Read the following articles: </w:t>
            </w:r>
          </w:p>
          <w:p w:rsidR="00000000" w:rsidDel="00000000" w:rsidP="00000000" w:rsidRDefault="00000000" w:rsidRPr="00000000">
            <w:pPr>
              <w:pStyle w:val="Heading1"/>
              <w:keepNext w:val="0"/>
              <w:keepLines w:val="0"/>
              <w:spacing w:before="0" w:line="288" w:lineRule="auto"/>
              <w:contextualSpacing w:val="0"/>
            </w:pPr>
            <w:bookmarkStart w:colFirst="0" w:colLast="0" w:name="h.e272iayp4eme" w:id="0"/>
            <w:bookmarkEnd w:id="0"/>
            <w:hyperlink r:id="rId6">
              <w:r w:rsidDel="00000000" w:rsidR="00000000" w:rsidRPr="00000000">
                <w:rPr>
                  <w:rFonts w:ascii="Arial" w:cs="Arial" w:eastAsia="Arial" w:hAnsi="Arial"/>
                  <w:color w:val="0000ff"/>
                  <w:sz w:val="22"/>
                  <w:szCs w:val="22"/>
                  <w:highlight w:val="white"/>
                  <w:u w:val="single"/>
                  <w:rtl w:val="0"/>
                </w:rPr>
                <w:t xml:space="preserve">The Henry Clay Frick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http://www.frick.org/collection/history/henry_clay_frick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2"/>
              <w:keepNext w:val="0"/>
              <w:keepLines w:val="0"/>
              <w:spacing w:after="80" w:before="360" w:line="282.85714285714283" w:lineRule="auto"/>
              <w:contextualSpacing w:val="0"/>
              <w:jc w:val="left"/>
            </w:pPr>
            <w:bookmarkStart w:colFirst="0" w:colLast="0" w:name="h.rxja7n3nwfpe" w:id="1"/>
            <w:bookmarkEnd w:id="1"/>
            <w:hyperlink r:id="rId8">
              <w:r w:rsidDel="00000000" w:rsidR="00000000" w:rsidRPr="00000000">
                <w:rPr>
                  <w:rFonts w:ascii="Arial" w:cs="Arial" w:eastAsia="Arial" w:hAnsi="Arial"/>
                  <w:b w:val="0"/>
                  <w:color w:val="0000ff"/>
                  <w:sz w:val="22"/>
                  <w:szCs w:val="22"/>
                  <w:highlight w:val="white"/>
                  <w:u w:val="single"/>
                  <w:rtl w:val="0"/>
                </w:rPr>
                <w:t xml:space="preserve">“I Will Kill Frick”: Emma Goldman Recounts the Attempt to Assassinate the Chairman of the Carnegie Steel Company During the: Homestead Strike in 1892</w:t>
              </w:r>
            </w:hyperlink>
            <w:hyperlink r:id="rId9">
              <w:r w:rsidDel="00000000" w:rsidR="00000000" w:rsidRPr="00000000">
                <w:rPr>
                  <w:rtl w:val="0"/>
                </w:rPr>
              </w:r>
            </w:hyperlink>
          </w:p>
          <w:p w:rsidR="00000000" w:rsidDel="00000000" w:rsidP="00000000" w:rsidRDefault="00000000" w:rsidRPr="00000000">
            <w:pPr>
              <w:contextualSpacing w:val="0"/>
            </w:pP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http://historymatters.gmu.edu/d/99/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hyperlink r:id="rId11">
              <w:r w:rsidDel="00000000" w:rsidR="00000000" w:rsidRPr="00000000">
                <w:rPr>
                  <w:rtl w:val="0"/>
                </w:rPr>
              </w:r>
            </w:hyperlink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For both reading assignments, answer the following questions: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0" w:before="0" w:line="240" w:lineRule="auto"/>
              <w:ind w:left="720" w:hanging="360"/>
              <w:contextualSpacing w:val="1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0"/>
              </w:rPr>
              <w:t xml:space="preserve">What type of source is this?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0" w:before="0" w:line="240" w:lineRule="auto"/>
              <w:ind w:left="720" w:hanging="360"/>
              <w:contextualSpacing w:val="1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0"/>
              </w:rPr>
              <w:t xml:space="preserve">Who is the intended audience?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0" w:before="0" w:line="240" w:lineRule="auto"/>
              <w:ind w:left="720" w:hanging="360"/>
              <w:contextualSpacing w:val="1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0"/>
              </w:rPr>
              <w:t xml:space="preserve">What is the content and context of this piece?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0" w:before="0" w:line="240" w:lineRule="auto"/>
              <w:ind w:left="720" w:hanging="360"/>
              <w:contextualSpacing w:val="1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color w:val="000000"/>
                <w:rtl w:val="0"/>
              </w:rPr>
              <w:t xml:space="preserve">What is the point of view?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Using the three readings (including at least one of the stimuli for the multiple choice questions) what would a worker think about Andrew Carnegie? What would a Gilded Age entrepreneur think about him?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Writing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Students will examine the image (below)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720" w:hanging="360"/>
              <w:contextualSpacing w:val="1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rtl w:val="0"/>
              </w:rPr>
              <w:t xml:space="preserve">Briefly explain the point of view of the artist in the cartoon </w:t>
            </w:r>
            <w:r w:rsidDel="00000000" w:rsidR="00000000" w:rsidRPr="00000000">
              <w:rPr>
                <w:rtl w:val="0"/>
              </w:rPr>
              <w:t xml:space="preserve">below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720" w:hanging="360"/>
              <w:contextualSpacing w:val="1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rtl w:val="0"/>
              </w:rPr>
              <w:t xml:space="preserve">Briefly explain the historical context in which this cartoon was created.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720" w:hanging="360"/>
              <w:contextualSpacing w:val="1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rtl w:val="0"/>
              </w:rPr>
              <w:t xml:space="preserve">Briefly explain how the work force responded to what the cartoon implies.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Student Product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Create a chatroom through Edmodo where each student must enter a detailed phrase supporting either the industrialists or workers on how the Homestead Strike was handled. 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bookmarkStart w:colFirst="0" w:colLast="0" w:name="h.gjdgxs" w:id="2"/>
      <w:bookmarkEnd w:id="2"/>
      <w:r w:rsidDel="00000000" w:rsidR="00000000" w:rsidRPr="00000000">
        <w:drawing>
          <wp:inline distB="0" distT="0" distL="0" distR="0">
            <wp:extent cx="5415472" cy="3921507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5472" cy="3921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Times New Roman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680"/>
        <w:tab w:val="right" w:pos="9360"/>
      </w:tabs>
      <w:spacing w:after="0" w:before="720" w:line="240" w:lineRule="auto"/>
      <w:contextualSpacing w:val="0"/>
      <w:jc w:val="center"/>
    </w:pPr>
    <w:r w:rsidDel="00000000" w:rsidR="00000000" w:rsidRPr="00000000">
      <w:rPr>
        <w:rFonts w:ascii="Cambria" w:cs="Cambria" w:eastAsia="Cambria" w:hAnsi="Cambria"/>
        <w:b w:val="0"/>
        <w:color w:val="000000"/>
        <w:sz w:val="32"/>
        <w:szCs w:val="32"/>
        <w:rtl w:val="0"/>
      </w:rPr>
      <w:t xml:space="preserve">Module 6.3</w:t>
    </w:r>
  </w:p>
  <w:p w:rsidR="00000000" w:rsidDel="00000000" w:rsidP="00000000" w:rsidRDefault="00000000" w:rsidRPr="00000000">
    <w:pPr>
      <w:tabs>
        <w:tab w:val="center" w:pos="4680"/>
        <w:tab w:val="right" w:pos="9360"/>
      </w:tabs>
      <w:spacing w:after="0" w:before="0" w:line="240" w:lineRule="auto"/>
      <w:contextualSpacing w:val="0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76" w:lineRule="auto"/>
    </w:pPr>
    <w:rPr>
      <w:rFonts w:ascii="Trebuchet MS" w:cs="Trebuchet MS" w:eastAsia="Trebuchet MS" w:hAnsi="Trebuchet MS"/>
      <w:b w:val="0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76" w:lineRule="auto"/>
    </w:pPr>
    <w:rPr>
      <w:rFonts w:ascii="Trebuchet MS" w:cs="Trebuchet MS" w:eastAsia="Trebuchet MS" w:hAnsi="Trebuchet MS"/>
      <w:b w:val="1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76" w:lineRule="auto"/>
    </w:pPr>
    <w:rPr>
      <w:rFonts w:ascii="Trebuchet MS" w:cs="Trebuchet MS" w:eastAsia="Trebuchet MS" w:hAnsi="Trebuchet MS"/>
      <w:b w:val="0"/>
      <w:color w:val="000000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="276" w:lineRule="auto"/>
    </w:pPr>
    <w:rPr>
      <w:rFonts w:ascii="Trebuchet MS" w:cs="Trebuchet MS" w:eastAsia="Trebuchet MS" w:hAnsi="Trebuchet MS"/>
      <w:b w:val="0"/>
      <w:i w:val="1"/>
      <w:color w:val="666666"/>
      <w:sz w:val="26"/>
      <w:szCs w:val="26"/>
    </w:rPr>
  </w:style>
  <w:style w:type="table" w:styleId="Table1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historymatters.gmu.edu/d/99/" TargetMode="External"/><Relationship Id="rId10" Type="http://schemas.openxmlformats.org/officeDocument/2006/relationships/hyperlink" Target="http://historymatters.gmu.edu/d/99/" TargetMode="External"/><Relationship Id="rId13" Type="http://schemas.openxmlformats.org/officeDocument/2006/relationships/header" Target="header1.xml"/><Relationship Id="rId12" Type="http://schemas.openxmlformats.org/officeDocument/2006/relationships/image" Target="media/image01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frick.org/collection/history/henry_clay_frick" TargetMode="External"/><Relationship Id="rId5" Type="http://schemas.openxmlformats.org/officeDocument/2006/relationships/hyperlink" Target="https://docs.google.com/document/d/1MkropVHrMQftfvZPqF5m1MqK9T8uMpSrI_CI06sNY_s/edit" TargetMode="External"/><Relationship Id="rId6" Type="http://schemas.openxmlformats.org/officeDocument/2006/relationships/hyperlink" Target="http://www.frick.org/collection/history/henry_clay_frick" TargetMode="External"/><Relationship Id="rId7" Type="http://schemas.openxmlformats.org/officeDocument/2006/relationships/hyperlink" Target="http://www.frick.org/collection/history/henry_clay_frick" TargetMode="External"/><Relationship Id="rId8" Type="http://schemas.openxmlformats.org/officeDocument/2006/relationships/hyperlink" Target="http://historymatters.gmu.edu/d/99/" TargetMode="External"/></Relationships>
</file>