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62925" w:rsidRDefault="00876F2A">
      <w:pPr>
        <w:jc w:val="center"/>
      </w:pPr>
      <w:r>
        <w:rPr>
          <w:rFonts w:ascii="Times New Roman" w:eastAsia="Times New Roman" w:hAnsi="Times New Roman" w:cs="Times New Roman"/>
          <w:b/>
          <w:sz w:val="24"/>
          <w:szCs w:val="24"/>
        </w:rPr>
        <w:t>Module (8.2)</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262925">
        <w:trPr>
          <w:trHeight w:val="1720"/>
        </w:trPr>
        <w:tc>
          <w:tcPr>
            <w:tcW w:w="2175" w:type="dxa"/>
            <w:tcMar>
              <w:top w:w="100" w:type="dxa"/>
              <w:left w:w="100" w:type="dxa"/>
              <w:bottom w:w="100" w:type="dxa"/>
              <w:right w:w="100" w:type="dxa"/>
            </w:tcMar>
          </w:tcPr>
          <w:p w:rsidR="00262925" w:rsidRDefault="00876F2A">
            <w:pPr>
              <w:widowControl w:val="0"/>
              <w:spacing w:line="240" w:lineRule="auto"/>
            </w:pPr>
            <w:r>
              <w:rPr>
                <w:rFonts w:ascii="Times New Roman" w:eastAsia="Times New Roman" w:hAnsi="Times New Roman" w:cs="Times New Roman"/>
                <w:b/>
              </w:rPr>
              <w:t>Pre-Assessment</w:t>
            </w:r>
          </w:p>
        </w:tc>
        <w:tc>
          <w:tcPr>
            <w:tcW w:w="7185" w:type="dxa"/>
            <w:tcMar>
              <w:top w:w="100" w:type="dxa"/>
              <w:left w:w="100" w:type="dxa"/>
              <w:bottom w:w="100" w:type="dxa"/>
              <w:right w:w="100" w:type="dxa"/>
            </w:tcMar>
          </w:tcPr>
          <w:p w:rsidR="00262925" w:rsidRDefault="00876F2A" w:rsidP="00876F2A">
            <w:pPr>
              <w:widowControl w:val="0"/>
              <w:spacing w:line="240" w:lineRule="auto"/>
            </w:pPr>
            <w:r>
              <w:t>Students will take the pre-assessment quiz for Module 8.2</w:t>
            </w:r>
            <w:bookmarkStart w:id="0" w:name="_GoBack"/>
            <w:bookmarkEnd w:id="0"/>
          </w:p>
        </w:tc>
      </w:tr>
      <w:tr w:rsidR="00262925">
        <w:trPr>
          <w:trHeight w:val="1820"/>
        </w:trPr>
        <w:tc>
          <w:tcPr>
            <w:tcW w:w="2175" w:type="dxa"/>
            <w:tcMar>
              <w:top w:w="100" w:type="dxa"/>
              <w:left w:w="100" w:type="dxa"/>
              <w:bottom w:w="100" w:type="dxa"/>
              <w:right w:w="100" w:type="dxa"/>
            </w:tcMar>
          </w:tcPr>
          <w:p w:rsidR="00262925" w:rsidRDefault="00876F2A">
            <w:pPr>
              <w:widowControl w:val="0"/>
              <w:spacing w:line="240" w:lineRule="auto"/>
            </w:pPr>
            <w:r>
              <w:rPr>
                <w:rFonts w:ascii="Times New Roman" w:eastAsia="Times New Roman" w:hAnsi="Times New Roman" w:cs="Times New Roman"/>
                <w:b/>
              </w:rPr>
              <w:t>Reading Activity</w:t>
            </w:r>
          </w:p>
        </w:tc>
        <w:tc>
          <w:tcPr>
            <w:tcW w:w="7185" w:type="dxa"/>
            <w:tcMar>
              <w:top w:w="100" w:type="dxa"/>
              <w:left w:w="100" w:type="dxa"/>
              <w:bottom w:w="100" w:type="dxa"/>
              <w:right w:w="100" w:type="dxa"/>
            </w:tcMar>
          </w:tcPr>
          <w:p w:rsidR="00262925" w:rsidRDefault="00876F2A">
            <w:pPr>
              <w:widowControl w:val="0"/>
              <w:spacing w:line="240" w:lineRule="auto"/>
            </w:pPr>
            <w:r>
              <w:rPr>
                <w:rFonts w:ascii="Times New Roman" w:eastAsia="Times New Roman" w:hAnsi="Times New Roman" w:cs="Times New Roman"/>
              </w:rPr>
              <w:t xml:space="preserve">Students will use the documents below to compare the different agendas of Civil Rights leaders and how they would accomplish those goals. Students then need to compare and contrast to at least two other movements in US History. </w:t>
            </w:r>
          </w:p>
          <w:p w:rsidR="00262925" w:rsidRDefault="00876F2A">
            <w:pPr>
              <w:widowControl w:val="0"/>
              <w:numPr>
                <w:ilvl w:val="0"/>
                <w:numId w:val="1"/>
              </w:numPr>
              <w:spacing w:before="220" w:after="220" w:line="360" w:lineRule="auto"/>
              <w:ind w:hanging="360"/>
              <w:contextualSpacing/>
              <w:rPr>
                <w:sz w:val="21"/>
                <w:szCs w:val="21"/>
              </w:rPr>
            </w:pPr>
            <w:hyperlink r:id="rId6">
              <w:r>
                <w:rPr>
                  <w:color w:val="488BA6"/>
                  <w:sz w:val="21"/>
                  <w:szCs w:val="21"/>
                  <w:highlight w:val="white"/>
                </w:rPr>
                <w:t>“Nonviolence: The Only Road to Freedom, May 4, 1966,”</w:t>
              </w:r>
            </w:hyperlink>
            <w:r>
              <w:rPr>
                <w:color w:val="666666"/>
                <w:sz w:val="21"/>
                <w:szCs w:val="21"/>
                <w:highlight w:val="white"/>
              </w:rPr>
              <w:t xml:space="preserve"> (excerpts)</w:t>
            </w:r>
          </w:p>
          <w:p w:rsidR="00262925" w:rsidRDefault="00876F2A">
            <w:pPr>
              <w:widowControl w:val="0"/>
              <w:numPr>
                <w:ilvl w:val="0"/>
                <w:numId w:val="1"/>
              </w:numPr>
              <w:spacing w:before="220" w:after="220" w:line="360" w:lineRule="auto"/>
              <w:ind w:hanging="360"/>
              <w:contextualSpacing/>
              <w:rPr>
                <w:sz w:val="21"/>
                <w:szCs w:val="21"/>
              </w:rPr>
            </w:pPr>
            <w:hyperlink r:id="rId7">
              <w:r>
                <w:rPr>
                  <w:color w:val="488BA6"/>
                  <w:sz w:val="21"/>
                  <w:szCs w:val="21"/>
                  <w:highlight w:val="white"/>
                </w:rPr>
                <w:t>“The Ballot or the Bullet,” Malcolm X, April 3, 1964</w:t>
              </w:r>
            </w:hyperlink>
            <w:r>
              <w:rPr>
                <w:color w:val="666666"/>
                <w:sz w:val="21"/>
                <w:szCs w:val="21"/>
                <w:highlight w:val="white"/>
              </w:rPr>
              <w:t xml:space="preserve"> (excerpts)</w:t>
            </w:r>
          </w:p>
          <w:p w:rsidR="00262925" w:rsidRDefault="00876F2A">
            <w:pPr>
              <w:widowControl w:val="0"/>
              <w:numPr>
                <w:ilvl w:val="0"/>
                <w:numId w:val="1"/>
              </w:numPr>
              <w:spacing w:before="220" w:after="220" w:line="360" w:lineRule="auto"/>
              <w:ind w:hanging="360"/>
              <w:contextualSpacing/>
              <w:rPr>
                <w:sz w:val="21"/>
                <w:szCs w:val="21"/>
              </w:rPr>
            </w:pPr>
            <w:hyperlink r:id="rId8">
              <w:r>
                <w:rPr>
                  <w:color w:val="488BA6"/>
                  <w:sz w:val="21"/>
                  <w:szCs w:val="21"/>
                  <w:highlight w:val="white"/>
                </w:rPr>
                <w:t>Compare and Contrast Organizer</w:t>
              </w:r>
            </w:hyperlink>
          </w:p>
          <w:p w:rsidR="00262925" w:rsidRDefault="00262925">
            <w:pPr>
              <w:widowControl w:val="0"/>
              <w:spacing w:line="240" w:lineRule="auto"/>
            </w:pPr>
          </w:p>
        </w:tc>
      </w:tr>
      <w:tr w:rsidR="00262925">
        <w:tc>
          <w:tcPr>
            <w:tcW w:w="2175" w:type="dxa"/>
            <w:tcMar>
              <w:top w:w="100" w:type="dxa"/>
              <w:left w:w="100" w:type="dxa"/>
              <w:bottom w:w="100" w:type="dxa"/>
              <w:right w:w="100" w:type="dxa"/>
            </w:tcMar>
          </w:tcPr>
          <w:p w:rsidR="00262925" w:rsidRDefault="00876F2A">
            <w:pPr>
              <w:widowControl w:val="0"/>
              <w:spacing w:line="240" w:lineRule="auto"/>
            </w:pPr>
            <w:r>
              <w:rPr>
                <w:rFonts w:ascii="Times New Roman" w:eastAsia="Times New Roman" w:hAnsi="Times New Roman" w:cs="Times New Roman"/>
                <w:b/>
              </w:rPr>
              <w:t>Writing Activity</w:t>
            </w:r>
          </w:p>
        </w:tc>
        <w:tc>
          <w:tcPr>
            <w:tcW w:w="7185" w:type="dxa"/>
            <w:tcMar>
              <w:top w:w="100" w:type="dxa"/>
              <w:left w:w="100" w:type="dxa"/>
              <w:bottom w:w="100" w:type="dxa"/>
              <w:right w:w="100" w:type="dxa"/>
            </w:tcMar>
          </w:tcPr>
          <w:p w:rsidR="00262925" w:rsidRDefault="00876F2A">
            <w:pPr>
              <w:widowControl w:val="0"/>
              <w:spacing w:line="240" w:lineRule="auto"/>
            </w:pPr>
            <w:r>
              <w:rPr>
                <w:noProof/>
              </w:rPr>
              <w:drawing>
                <wp:inline distT="114300" distB="114300" distL="114300" distR="114300">
                  <wp:extent cx="3662363" cy="417195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3662363" cy="4171950"/>
                          </a:xfrm>
                          <a:prstGeom prst="rect">
                            <a:avLst/>
                          </a:prstGeom>
                          <a:ln/>
                        </pic:spPr>
                      </pic:pic>
                    </a:graphicData>
                  </a:graphic>
                </wp:inline>
              </w:drawing>
            </w:r>
            <w:hyperlink r:id="rId10">
              <w:r>
                <w:rPr>
                  <w:rFonts w:ascii="Times New Roman" w:eastAsia="Times New Roman" w:hAnsi="Times New Roman" w:cs="Times New Roman"/>
                  <w:color w:val="1155CC"/>
                  <w:u w:val="single"/>
                </w:rPr>
                <w:t>http://ctah.binghamton.edu/student/lovell/herblock.gif</w:t>
              </w:r>
            </w:hyperlink>
          </w:p>
          <w:p w:rsidR="00262925" w:rsidRDefault="00262925">
            <w:pPr>
              <w:widowControl w:val="0"/>
              <w:spacing w:line="240" w:lineRule="auto"/>
            </w:pPr>
          </w:p>
          <w:p w:rsidR="00262925" w:rsidRDefault="00876F2A">
            <w:pPr>
              <w:widowControl w:val="0"/>
              <w:spacing w:line="240" w:lineRule="auto"/>
            </w:pPr>
            <w:r>
              <w:rPr>
                <w:rFonts w:ascii="Times New Roman" w:eastAsia="Times New Roman" w:hAnsi="Times New Roman" w:cs="Times New Roman"/>
              </w:rPr>
              <w:lastRenderedPageBreak/>
              <w:t xml:space="preserve"> Describe the significance of this political cartoon as it relates to debates over social welfare programs. </w:t>
            </w:r>
          </w:p>
          <w:p w:rsidR="00262925" w:rsidRDefault="00262925">
            <w:pPr>
              <w:widowControl w:val="0"/>
              <w:spacing w:line="240" w:lineRule="auto"/>
            </w:pPr>
          </w:p>
          <w:p w:rsidR="00262925" w:rsidRDefault="00262925">
            <w:pPr>
              <w:widowControl w:val="0"/>
              <w:spacing w:line="240" w:lineRule="auto"/>
            </w:pPr>
          </w:p>
          <w:p w:rsidR="00262925" w:rsidRDefault="00262925">
            <w:pPr>
              <w:widowControl w:val="0"/>
              <w:spacing w:line="240" w:lineRule="auto"/>
            </w:pPr>
          </w:p>
        </w:tc>
      </w:tr>
      <w:tr w:rsidR="00262925">
        <w:tc>
          <w:tcPr>
            <w:tcW w:w="2175" w:type="dxa"/>
            <w:tcMar>
              <w:top w:w="100" w:type="dxa"/>
              <w:left w:w="100" w:type="dxa"/>
              <w:bottom w:w="100" w:type="dxa"/>
              <w:right w:w="100" w:type="dxa"/>
            </w:tcMar>
          </w:tcPr>
          <w:p w:rsidR="00262925" w:rsidRDefault="00876F2A">
            <w:pPr>
              <w:widowControl w:val="0"/>
              <w:spacing w:line="240" w:lineRule="auto"/>
            </w:pPr>
            <w:r>
              <w:rPr>
                <w:rFonts w:ascii="Times New Roman" w:eastAsia="Times New Roman" w:hAnsi="Times New Roman" w:cs="Times New Roman"/>
                <w:b/>
              </w:rPr>
              <w:lastRenderedPageBreak/>
              <w:t>Student Product</w:t>
            </w:r>
          </w:p>
        </w:tc>
        <w:tc>
          <w:tcPr>
            <w:tcW w:w="7185" w:type="dxa"/>
            <w:tcMar>
              <w:top w:w="100" w:type="dxa"/>
              <w:left w:w="100" w:type="dxa"/>
              <w:bottom w:w="100" w:type="dxa"/>
              <w:right w:w="100" w:type="dxa"/>
            </w:tcMar>
          </w:tcPr>
          <w:p w:rsidR="00262925" w:rsidRDefault="00876F2A">
            <w:pPr>
              <w:widowControl w:val="0"/>
              <w:spacing w:line="240" w:lineRule="auto"/>
            </w:pPr>
            <w:r>
              <w:rPr>
                <w:rFonts w:ascii="Times New Roman" w:eastAsia="Times New Roman" w:hAnsi="Times New Roman" w:cs="Times New Roman"/>
              </w:rPr>
              <w:t xml:space="preserve">Students will choose one of the following Civil Rights movements: Native American, Latino, Women, African-American, Gay and Lesbian. Students should address major events such as protests, riots, Supreme Court Cases that impacted their chosen movement. </w:t>
            </w:r>
          </w:p>
          <w:p w:rsidR="00262925" w:rsidRDefault="00262925"/>
          <w:p w:rsidR="00262925" w:rsidRDefault="00876F2A">
            <w:r>
              <w:rPr>
                <w:rFonts w:ascii="Times New Roman" w:eastAsia="Times New Roman" w:hAnsi="Times New Roman" w:cs="Times New Roman"/>
              </w:rPr>
              <w:t>Students must create a full page (8.5x11) infographic. Here is a sample</w:t>
            </w:r>
            <w:r>
              <w:t>.</w:t>
            </w:r>
          </w:p>
          <w:p w:rsidR="00262925" w:rsidRDefault="00262925"/>
          <w:p w:rsidR="00262925" w:rsidRDefault="00876F2A">
            <w:r>
              <w:rPr>
                <w:noProof/>
              </w:rPr>
              <w:drawing>
                <wp:inline distT="114300" distB="114300" distL="114300" distR="114300">
                  <wp:extent cx="4386263" cy="3086100"/>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1"/>
                          <a:srcRect/>
                          <a:stretch>
                            <a:fillRect/>
                          </a:stretch>
                        </pic:blipFill>
                        <pic:spPr>
                          <a:xfrm>
                            <a:off x="0" y="0"/>
                            <a:ext cx="4386263" cy="3086100"/>
                          </a:xfrm>
                          <a:prstGeom prst="rect">
                            <a:avLst/>
                          </a:prstGeom>
                          <a:ln/>
                        </pic:spPr>
                      </pic:pic>
                    </a:graphicData>
                  </a:graphic>
                </wp:inline>
              </w:drawing>
            </w:r>
          </w:p>
          <w:p w:rsidR="00262925" w:rsidRDefault="00262925"/>
          <w:p w:rsidR="00262925" w:rsidRDefault="00876F2A">
            <w:r>
              <w:t>Students may use these options for creating their infographics.</w:t>
            </w:r>
          </w:p>
          <w:p w:rsidR="00262925" w:rsidRDefault="00262925"/>
          <w:p w:rsidR="00262925" w:rsidRDefault="00876F2A">
            <w:hyperlink r:id="rId12">
              <w:r>
                <w:rPr>
                  <w:color w:val="1155CC"/>
                  <w:u w:val="single"/>
                </w:rPr>
                <w:t>http://piktochart.com/</w:t>
              </w:r>
            </w:hyperlink>
          </w:p>
          <w:p w:rsidR="00262925" w:rsidRDefault="00262925"/>
          <w:p w:rsidR="00262925" w:rsidRDefault="00876F2A">
            <w:hyperlink r:id="rId13">
              <w:r>
                <w:rPr>
                  <w:color w:val="1155CC"/>
                  <w:u w:val="single"/>
                </w:rPr>
                <w:t>https://www.canva.com/create/infographics/</w:t>
              </w:r>
            </w:hyperlink>
          </w:p>
          <w:p w:rsidR="00262925" w:rsidRDefault="00262925"/>
          <w:p w:rsidR="00262925" w:rsidRDefault="00876F2A">
            <w:hyperlink r:id="rId14">
              <w:r>
                <w:rPr>
                  <w:color w:val="1155CC"/>
                  <w:u w:val="single"/>
                </w:rPr>
                <w:t>https://venngage.com/</w:t>
              </w:r>
            </w:hyperlink>
          </w:p>
          <w:p w:rsidR="00262925" w:rsidRDefault="00262925"/>
          <w:p w:rsidR="00262925" w:rsidRDefault="00262925">
            <w:pPr>
              <w:widowControl w:val="0"/>
              <w:spacing w:line="240" w:lineRule="auto"/>
            </w:pPr>
          </w:p>
        </w:tc>
      </w:tr>
    </w:tbl>
    <w:p w:rsidR="00262925" w:rsidRDefault="00262925"/>
    <w:sectPr w:rsidR="002629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802AA"/>
    <w:multiLevelType w:val="multilevel"/>
    <w:tmpl w:val="DAE4F5BC"/>
    <w:lvl w:ilvl="0">
      <w:start w:val="1"/>
      <w:numFmt w:val="bullet"/>
      <w:lvlText w:val="●"/>
      <w:lvlJc w:val="left"/>
      <w:pPr>
        <w:ind w:left="720" w:firstLine="360"/>
      </w:pPr>
      <w:rPr>
        <w:rFonts w:ascii="Arial" w:eastAsia="Arial" w:hAnsi="Arial" w:cs="Arial"/>
        <w:color w:val="666666"/>
        <w:sz w:val="31"/>
        <w:szCs w:val="3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262925"/>
    <w:rsid w:val="00262925"/>
    <w:rsid w:val="0087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876F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F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876F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F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gilderlehrman.org/sites/default/files/inline-pdfs/compare_contrast.pdf" TargetMode="External"/><Relationship Id="rId13" Type="http://schemas.openxmlformats.org/officeDocument/2006/relationships/hyperlink" Target="https://www.canva.com/create/infographics/" TargetMode="External"/><Relationship Id="rId3" Type="http://schemas.microsoft.com/office/2007/relationships/stylesWithEffects" Target="stylesWithEffects.xml"/><Relationship Id="rId7" Type="http://schemas.openxmlformats.org/officeDocument/2006/relationships/hyperlink" Target="https://www.gilderlehrman.org/sites/default/files/inline-pdfs/malcolmx_bullet_excerpts_0.pdf" TargetMode="External"/><Relationship Id="rId12" Type="http://schemas.openxmlformats.org/officeDocument/2006/relationships/hyperlink" Target="http://piktochar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ilderlehrman.org/sites/default/files/inline-pdfs/king_nonviolence_excerpts.pdf"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tah.binghamton.edu/student/lovell/herblock.g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venng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dc:creator>
  <cp:lastModifiedBy>Dal</cp:lastModifiedBy>
  <cp:revision>2</cp:revision>
  <dcterms:created xsi:type="dcterms:W3CDTF">2016-08-08T14:33:00Z</dcterms:created>
  <dcterms:modified xsi:type="dcterms:W3CDTF">2016-08-08T14:33:00Z</dcterms:modified>
</cp:coreProperties>
</file>